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E48" w:rsidRPr="009D319D" w:rsidRDefault="009D319D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D319D">
        <w:rPr>
          <w:rFonts w:ascii="Times New Roman" w:hAnsi="Times New Roman" w:cs="Times New Roman"/>
          <w:b/>
          <w:sz w:val="36"/>
          <w:szCs w:val="28"/>
          <w:lang w:val="uk-UA"/>
        </w:rPr>
        <w:t>ТРЕНІНГОВИЙ ЦЕНТР «ОРАКУЛ»</w:t>
      </w:r>
    </w:p>
    <w:p w:rsidR="002B4C70" w:rsidRDefault="002B4C70" w:rsidP="002B4C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C70" w:rsidRDefault="002B4C70" w:rsidP="002B4C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E48" w:rsidRDefault="009D319D" w:rsidP="002B4C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даної теми полягає в тому, що з розвитком ХХІ ст. люди часто занурюються у віртуальний світ забуваючи про перспективи свого розвитку, індивідуальність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 та створюють нові бар’єри у спілкуванні між собою. Таким чином нівелюються основні цінності, пріоритети, формуються нові стигми та догми, які заважають існувати та розвиватися «новій людині» нового часу. Дана тема є актуальною в рамках соціа</w:t>
      </w:r>
      <w:r>
        <w:rPr>
          <w:rFonts w:ascii="Times New Roman" w:hAnsi="Times New Roman" w:cs="Times New Roman"/>
          <w:sz w:val="28"/>
          <w:szCs w:val="28"/>
          <w:lang w:val="uk-UA"/>
        </w:rPr>
        <w:t>льної роботи, психології та педагогіки, а тому спеціалісти різних галузей наукового знання ставлять перед собою ряд проблем та шукають шляхи їх вирішення. Тому дана проблема обумовлена такими чинниками: по-перше, втрачається загальна схема співіснування «л</w:t>
      </w:r>
      <w:r>
        <w:rPr>
          <w:rFonts w:ascii="Times New Roman" w:hAnsi="Times New Roman" w:cs="Times New Roman"/>
          <w:sz w:val="28"/>
          <w:szCs w:val="28"/>
          <w:lang w:val="uk-UA"/>
        </w:rPr>
        <w:t>юдина-людина», з’являються більш нові, такі як «людина-механізм-людина», що не гарантують цілісне задоволення внутрішніх потреб особистості та її психологічного розвитку, вони навпаки допомагають формувати людину маргінала, не здатну до самостійного прийня</w:t>
      </w:r>
      <w:r>
        <w:rPr>
          <w:rFonts w:ascii="Times New Roman" w:hAnsi="Times New Roman" w:cs="Times New Roman"/>
          <w:sz w:val="28"/>
          <w:szCs w:val="28"/>
          <w:lang w:val="uk-UA"/>
        </w:rPr>
        <w:t>ття рішень та існування, як повноцінної особистості. По-друге, з швидкоплинністю науково-технічного розвитку, появою акселеративних процесів, коли фізичне «я» людини розвивається набагато швидше, ніж  духовне, формуються не бажані типи та форми поведінки</w:t>
      </w:r>
      <w:r w:rsidR="002B4C70">
        <w:rPr>
          <w:rFonts w:ascii="Times New Roman" w:hAnsi="Times New Roman" w:cs="Times New Roman"/>
          <w:sz w:val="28"/>
          <w:szCs w:val="28"/>
          <w:lang w:val="uk-UA"/>
        </w:rPr>
        <w:t xml:space="preserve"> своєрідні «девіації»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перешкоджають </w:t>
      </w:r>
      <w:r w:rsidR="002B4C70">
        <w:rPr>
          <w:rFonts w:ascii="Times New Roman" w:hAnsi="Times New Roman" w:cs="Times New Roman"/>
          <w:sz w:val="28"/>
          <w:szCs w:val="28"/>
          <w:lang w:val="uk-UA"/>
        </w:rPr>
        <w:t xml:space="preserve">її повноцінному розвитку.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По-третє, відбувається деградація моральних цінностей, </w:t>
      </w:r>
      <w:r w:rsidR="002B4C70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новостворені сімейні стосунки позбавлені загальноприйнятих норм формування внутрішн</w:t>
      </w:r>
      <w:r w:rsidR="002B4C70">
        <w:rPr>
          <w:rFonts w:ascii="Times New Roman" w:hAnsi="Times New Roman" w:cs="Times New Roman"/>
          <w:sz w:val="28"/>
          <w:szCs w:val="28"/>
          <w:lang w:val="uk-UA"/>
        </w:rPr>
        <w:t>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взаємовідносин та «живого спілкування» між подружжям.  Теплі стосунки замі</w:t>
      </w:r>
      <w:r>
        <w:rPr>
          <w:rFonts w:ascii="Times New Roman" w:hAnsi="Times New Roman" w:cs="Times New Roman"/>
          <w:sz w:val="28"/>
          <w:szCs w:val="28"/>
          <w:lang w:val="uk-UA"/>
        </w:rPr>
        <w:t>нюють створені графічні зображення, які ведуть до не повноцінного внутрішнього задоволення кожної особистості та її потреб.</w:t>
      </w:r>
    </w:p>
    <w:p w:rsidR="00A27E48" w:rsidRDefault="009D319D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Тому, проаналізувавши літературу щодо даної проблеми, можна виділити групи робіт, що виокремлюють їх як соціально-значущі форми адап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тації осіб до «нормальних умов життя». Зокрема Афанасьєва В.В. розглядає психолого-педагогічні проблеми соціальної адаптації,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Мінц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М.О. виокремлює основні види відхилень, Трофімова А.В.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Дуванова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С.П.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виділяють основні етапи роботи з особами, що мають сх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ильності до деві</w:t>
      </w:r>
      <w:r w:rsid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антної поведінки, Полякова О.М.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наголошує на важливості ролі громадських організацій при подоланні такого явища, як девіантна поведінка, Квітковська Н.В. приділяє увагу саме психологічному походженню даної проблеми </w:t>
      </w:r>
      <w:r w:rsidRPr="002B4C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[1,3,4,5,6]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Як бачим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о, проблема діяльності тренінгових центрів у подоланні девіантної поведінки</w:t>
      </w:r>
      <w:r w:rsidR="002B4C70">
        <w:rPr>
          <w:rFonts w:ascii="Times New Roman" w:eastAsia="Calibri" w:hAnsi="Times New Roman" w:cs="Times New Roman"/>
          <w:sz w:val="28"/>
          <w:szCs w:val="28"/>
          <w:lang w:val="uk-UA"/>
        </w:rPr>
        <w:t>, або такої, що виділяє особу з загальноприйнятих норм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актуальною та не є новою, оскільки з кожним новим роком, століттям змінюються люди, їх цінності</w:t>
      </w:r>
      <w:r w:rsid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стилі поведінки та схильності. </w:t>
      </w:r>
      <w:proofErr w:type="spellStart"/>
      <w:r w:rsidR="002B4C70">
        <w:rPr>
          <w:rFonts w:ascii="Times New Roman" w:eastAsia="Calibri" w:hAnsi="Times New Roman" w:cs="Times New Roman"/>
          <w:sz w:val="28"/>
          <w:szCs w:val="28"/>
          <w:lang w:val="uk-UA"/>
        </w:rPr>
        <w:t>Девіації</w:t>
      </w:r>
      <w:proofErr w:type="spellEnd"/>
      <w:r w:rsid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громадян можуть виражатися не в властивій загальноприйнятій нормі, вони виступають своєрідними психолого-педагогічними проблемами, вирішити які у компетенції сучасного </w:t>
      </w:r>
      <w:proofErr w:type="spellStart"/>
      <w:r w:rsidR="002B4C70">
        <w:rPr>
          <w:rFonts w:ascii="Times New Roman" w:eastAsia="Calibri" w:hAnsi="Times New Roman" w:cs="Times New Roman"/>
          <w:sz w:val="28"/>
          <w:szCs w:val="28"/>
          <w:lang w:val="uk-UA"/>
        </w:rPr>
        <w:t>тренінгового</w:t>
      </w:r>
      <w:proofErr w:type="spellEnd"/>
      <w:r w:rsid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центру.</w:t>
      </w:r>
    </w:p>
    <w:p w:rsidR="00A27E48" w:rsidRDefault="009D319D" w:rsidP="002B4C70">
      <w:pPr>
        <w:pStyle w:val="a7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сучасній науковій літературі існують різні теорії формування девіацій (відхилень від усталених норм), зокрема: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біологічні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своєрідність зовнішнього вигляду зумовлює схильність людини до дезадаптацій,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пси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хологічні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особливості психіки, що є основою, яка визначає  схильність до конфліктів та правопорушень,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соціологічні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девіантна поведінка є наслідком засвоєння негативного соціального досвіду, суперечності між результатами виховання й вимогам середовища [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2, с. 65]. Людина не народжується маргіналом, а стає такою поступово, на даний процес впливають різні групи факторів, зокрема  дослідник Афанасьєва В.В. виділяє наступні:</w:t>
      </w:r>
    </w:p>
    <w:p w:rsidR="00A27E48" w:rsidRDefault="009D319D" w:rsidP="002B4C70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Відхилення в психічному та фізіологічному розвитку: низький рівень інтелектуального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озвитку від народження або як результат черепно-мозкової травми, емоційно-зумовлені відхилення та (або) відхилення у активно-вольовій сфері;</w:t>
      </w:r>
    </w:p>
    <w:p w:rsidR="00A27E48" w:rsidRDefault="009D319D" w:rsidP="002B4C70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Невідповідність сімейного виховання індивідуальності людини. Воно повинне орієнтуватися на заборону або стимулюванн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 тих або інших можливостей особи в пізнавальній, чуттєвій і вольових сферах, розвиток компенсаторних можливостей, які дозволяють подолати недоліки;</w:t>
      </w:r>
    </w:p>
    <w:p w:rsidR="00A27E48" w:rsidRDefault="009D319D" w:rsidP="002B4C70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Невідповідність виховної дії своєрідності вікового розвитку (неврахування особливостей кожного віку);</w:t>
      </w:r>
    </w:p>
    <w:p w:rsidR="00A27E48" w:rsidRDefault="009D319D" w:rsidP="002B4C70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Негат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ивні чинники середовища формування особистості (масова комп’ютеризація суспільства, зміна стилів спілкування, низький рівень комунікативних навичок, поява гіподинамії та інших хвороб рухового апарату) [1, с.66-67].</w:t>
      </w:r>
    </w:p>
    <w:p w:rsidR="00A27E48" w:rsidRDefault="009D319D" w:rsidP="002B4C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Отже, відсутність усталеної моральної сфо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рмованості та стійкості психіки породжує, що на особистісному рівні поведінка особи, котра відхиляється від загальноприйнятої норми – це його соціальна позиція, яка виступає у формі  стилю та способу життя.</w:t>
      </w:r>
    </w:p>
    <w:p w:rsidR="00A27E48" w:rsidRDefault="009D319D" w:rsidP="002B4C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Проаналізувавши вищевикладене, можна стверджувати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сучасне суспільство потребує психологічного «втручання»,  розробки та впровадження результативних соціальних проектів, спрямованих на всебічний розвиток особистості та подолання існуючих комунікативних та психологічних проблем.</w:t>
      </w:r>
    </w:p>
    <w:p w:rsidR="00A27E48" w:rsidRDefault="009D319D" w:rsidP="002B4C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ми прагнемо створити  новітній модернізований тренінговий центр «ОРАКУЛ».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Основною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якого будуть:</w:t>
      </w:r>
    </w:p>
    <w:p w:rsidR="00A27E48" w:rsidRDefault="009D319D" w:rsidP="002B4C7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«О» - організація особистості (правильний перерозподіл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особистісного часу, пошук альтернативних шляхів побудови цілей на майбутнє),</w:t>
      </w:r>
    </w:p>
    <w:p w:rsidR="00A27E48" w:rsidRDefault="009D319D" w:rsidP="002B4C7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«Р» - розвиток (всебічний розвиток та психологічна цілісність індивідів, для комфортних та позитивних взаємостосунків між різними групами населення),</w:t>
      </w:r>
    </w:p>
    <w:p w:rsidR="00A27E48" w:rsidRDefault="009D319D" w:rsidP="002B4C7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«А» - активність (формування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активності, громадської позиції, індивідуальності на основі побудови психологічної зрілості),</w:t>
      </w:r>
    </w:p>
    <w:p w:rsidR="00A27E48" w:rsidRDefault="009D319D" w:rsidP="002B4C7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«К» - креативність (новаторський підхід до вирішення особистісних проблем, розвиток творчого мислення, як особисто, так і в межах групи),</w:t>
      </w:r>
    </w:p>
    <w:p w:rsidR="00A27E48" w:rsidRDefault="009D319D" w:rsidP="002B4C7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«У» - універ</w:t>
      </w:r>
      <w:r>
        <w:rPr>
          <w:rFonts w:ascii="Times New Roman" w:hAnsi="Times New Roman" w:cs="Times New Roman"/>
          <w:sz w:val="28"/>
          <w:szCs w:val="28"/>
          <w:lang w:val="uk-UA"/>
        </w:rPr>
        <w:t>сальність (залучення спеціалістів різного профілю для всебічного вивчення та цілісної картини проблеми та пошуку шляхів для її вирішення),</w:t>
      </w:r>
    </w:p>
    <w:p w:rsidR="00A27E48" w:rsidRDefault="009D319D" w:rsidP="002B4C7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«Л» - лідерство (розвиток лідерських якостей кожного учасника тренінгової групи для використання здобутих знань поза </w:t>
      </w:r>
      <w:r>
        <w:rPr>
          <w:rFonts w:ascii="Times New Roman" w:hAnsi="Times New Roman" w:cs="Times New Roman"/>
          <w:sz w:val="28"/>
          <w:szCs w:val="28"/>
          <w:lang w:val="uk-UA"/>
        </w:rPr>
        <w:t>межами центру).</w:t>
      </w:r>
    </w:p>
    <w:p w:rsidR="00A27E48" w:rsidRDefault="009D319D" w:rsidP="002B4C7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Тренінг є базисом на якому будується вся робота тренінгового центру, він сприяє злагоженній роботі між тренерами та клієнтами, покращує взаємостосунки учасників групи між собою, за допомогою відібраних вправ можна глибше вивчити сутність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 та знайти шляхи її вирішення.</w:t>
      </w:r>
    </w:p>
    <w:p w:rsidR="00A27E48" w:rsidRDefault="009D319D" w:rsidP="002B4C7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свою чергу,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соціально-психологічний тренінг </w:t>
      </w:r>
      <w:r>
        <w:rPr>
          <w:rFonts w:ascii="Times New Roman" w:hAnsi="Times New Roman" w:cs="Times New Roman"/>
          <w:sz w:val="28"/>
          <w:szCs w:val="28"/>
          <w:lang w:val="uk-UA"/>
        </w:rPr>
        <w:t>– метод активного навчання і групового психологічного впливу з метою розвитку компетентності у сфері спілкування. Проводиться в групах із 8–15 осіб під керівництвом спеціа</w:t>
      </w:r>
      <w:r>
        <w:rPr>
          <w:rFonts w:ascii="Times New Roman" w:hAnsi="Times New Roman" w:cs="Times New Roman"/>
          <w:sz w:val="28"/>
          <w:szCs w:val="28"/>
          <w:lang w:val="uk-UA"/>
        </w:rPr>
        <w:t>льно підготованого психолога. Звичайно цикл занять розрахований на 30–50 годин, але тривалість може варіюватися залежно від характеру розв’язуваних завдань.</w:t>
      </w:r>
    </w:p>
    <w:p w:rsidR="00A27E48" w:rsidRDefault="009D319D" w:rsidP="002B4C7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Цільовою аудиторію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будуть студенти, як тренери або майбутні тренери, діти (середнього та старшого 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кільного віку), з якими будуть проводитися тренінги, що сприятимуть їхньому особистісному розвитку, професійному становленню та вдосконаленню існуючих здібностей і навичок; особи, які мають девіантну поведінку, що проявляється саме в формуванні нових "дегр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адованих" цінностей та нівелюванні загальноприйнятих норм спілкування та взаємодії у сім'ї, з колегами, друзями і т.д.</w:t>
      </w:r>
    </w:p>
    <w:p w:rsidR="00A27E48" w:rsidRDefault="009D319D" w:rsidP="002B4C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за таких обставин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завданнями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є 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7E48" w:rsidRDefault="009D319D" w:rsidP="002B4C70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спеціалістів різного профілю для повноцінного функціонування тренінгового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різнопланових потреб клієнтів,</w:t>
      </w:r>
    </w:p>
    <w:p w:rsidR="00A27E48" w:rsidRDefault="009D319D" w:rsidP="002B4C70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C7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низки тренінгових занять для вивчення кожної особистості, як тренерами, так і учасниками, на основі чого будуть виведені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проблеми та потреби клієнтів різних груп населення та сформовані пр</w:t>
      </w:r>
      <w:r>
        <w:rPr>
          <w:rFonts w:ascii="Times New Roman" w:hAnsi="Times New Roman" w:cs="Times New Roman"/>
          <w:sz w:val="28"/>
          <w:szCs w:val="28"/>
          <w:lang w:val="uk-UA"/>
        </w:rPr>
        <w:t>ограми для їх вирішення;</w:t>
      </w:r>
    </w:p>
    <w:p w:rsidR="00A27E48" w:rsidRDefault="009D319D" w:rsidP="002B4C70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C7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реалізація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та групових тренінгових програм для всебічного розвитку кожного члена сформованої групи для вирішення їх соціально-психологічних та особистісних проблем;</w:t>
      </w:r>
    </w:p>
    <w:p w:rsidR="00A27E48" w:rsidRDefault="009D319D" w:rsidP="002B4C70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B4C7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створення на базі тренінгового центру групи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ервинної правової допомоги особам, що потрапили у складні життєві обставини (консультування з приводу звернення у департаменти та територіальні центри соціального захисту населення, збору документів, часу роботи, строків подання судових позовів, захисту 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дивідуальних прав-незаконне звільнення, правовий захист людей з обмеженими можливостями і т.д.).</w:t>
      </w:r>
    </w:p>
    <w:p w:rsidR="00A27E48" w:rsidRDefault="009D319D" w:rsidP="002B4C7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Тривалість проекту та віковий склад цільової аудиторії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7E48" w:rsidRDefault="009D319D" w:rsidP="002B4C70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2012-2014 рр. – теоретична підготовка тренерів для роботи у майбутньому у тренінговій сфері,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знань щодо різних категорій клієнтів та їх проблем у межах університету (студенти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засвоюють необхідний багаж знань для того, щоб стати професійними тренерами);</w:t>
      </w:r>
    </w:p>
    <w:p w:rsidR="00A27E48" w:rsidRDefault="009D319D" w:rsidP="002B4C70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2014-2016 рр. – здобуття досвіду у проведенні та написанні тренінгових програм різного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університету та поза ним (студенти різних вікових груп та шкільна аудиторія</w:t>
      </w:r>
      <w:r w:rsidR="002B4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C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проведення та реалізація первинних тренінгових програм, які допоможуть здобути майбутнім тренерам досвід у проведенні даних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27E48" w:rsidRDefault="009D319D" w:rsidP="002B4C70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2016-2018 рр. – написання основного плану дій на майбутнє, пошук клієнтської бази для реалі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зації поставлених цілей (клієнти з різними соціально – психологічними проблеми);</w:t>
      </w:r>
    </w:p>
    <w:p w:rsidR="00A27E48" w:rsidRDefault="009D319D" w:rsidP="002B4C70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2018-…. рр. – відкриття тренінгового центру (співпраця з компаніями та бізнес – центрами </w:t>
      </w:r>
      <w:r w:rsidR="002B4C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розширення клієнтської бази та подальшої реалізації тренінгових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7E48" w:rsidRPr="002B4C70" w:rsidRDefault="009D319D" w:rsidP="002B4C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реалізація проекту знаходиться на перетині другого і </w:t>
      </w:r>
      <w:r>
        <w:rPr>
          <w:rFonts w:ascii="Times New Roman" w:hAnsi="Times New Roman" w:cs="Times New Roman"/>
          <w:sz w:val="28"/>
          <w:szCs w:val="28"/>
          <w:lang w:val="uk-UA"/>
        </w:rPr>
        <w:t>третього етапів. Сформована команда тренерів, розроблені першочергові тренінгові програми, триває пошук спеціалістів.</w:t>
      </w:r>
    </w:p>
    <w:p w:rsidR="00A27E48" w:rsidRDefault="009D31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реалізації проекту </w:t>
      </w:r>
    </w:p>
    <w:p w:rsidR="00A27E48" w:rsidRDefault="009D3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реалізується не один рік. Тому тренерами було вирішено описати його теперішній стан на 2015 -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рік. </w:t>
      </w:r>
    </w:p>
    <w:tbl>
      <w:tblPr>
        <w:tblStyle w:val="a8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2552"/>
        <w:gridCol w:w="2827"/>
        <w:gridCol w:w="1615"/>
        <w:gridCol w:w="803"/>
      </w:tblGrid>
      <w:tr w:rsidR="00A27E48">
        <w:tc>
          <w:tcPr>
            <w:tcW w:w="709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418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141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виконання</w:t>
            </w:r>
          </w:p>
        </w:tc>
        <w:tc>
          <w:tcPr>
            <w:tcW w:w="2552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282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615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803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реалізації</w:t>
            </w:r>
          </w:p>
        </w:tc>
      </w:tr>
      <w:tr w:rsidR="00A27E48">
        <w:trPr>
          <w:cantSplit/>
          <w:trHeight w:val="1134"/>
        </w:trPr>
        <w:tc>
          <w:tcPr>
            <w:tcW w:w="709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  <w:textDirection w:val="btLr"/>
            <w:vAlign w:val="center"/>
          </w:tcPr>
          <w:p w:rsidR="00A27E48" w:rsidRDefault="009D3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141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552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тренігову команду</w:t>
            </w:r>
            <w:r w:rsidR="002B4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складі 7 чоловік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проведення психодіагностичних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досліджені націлених на виявлення проблем молоді у рамках університету та школи.</w:t>
            </w:r>
          </w:p>
          <w:p w:rsidR="00A27E48" w:rsidRDefault="00A27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майбутньої тренінгової команди, визначення основних соціально-психологічних проблем студентської молоді та школярів, пошук матеріально - технічної бази</w:t>
            </w:r>
          </w:p>
        </w:tc>
        <w:tc>
          <w:tcPr>
            <w:tcW w:w="1615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Тренінгова команда (студенти спеціальності «Соціальна робота»)</w:t>
            </w:r>
          </w:p>
        </w:tc>
        <w:tc>
          <w:tcPr>
            <w:tcW w:w="803" w:type="dxa"/>
            <w:vAlign w:val="center"/>
          </w:tcPr>
          <w:p w:rsidR="00A27E48" w:rsidRDefault="00A27E48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E48">
        <w:trPr>
          <w:cantSplit/>
          <w:trHeight w:val="1134"/>
        </w:trPr>
        <w:tc>
          <w:tcPr>
            <w:tcW w:w="709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18" w:type="dxa"/>
            <w:textDirection w:val="btLr"/>
            <w:vAlign w:val="center"/>
          </w:tcPr>
          <w:p w:rsidR="00A27E48" w:rsidRDefault="009D3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41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– січень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2015 – 2016 рік</w:t>
            </w:r>
          </w:p>
        </w:tc>
        <w:tc>
          <w:tcPr>
            <w:tcW w:w="2552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тренінгові програми для ефективного вирішення соціально-психологічних проблем.</w:t>
            </w:r>
          </w:p>
          <w:p w:rsidR="00A27E48" w:rsidRDefault="00A27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тренінгових програм та пошук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цікавих вправ націлених на подолання особистісних проблем.</w:t>
            </w:r>
          </w:p>
        </w:tc>
        <w:tc>
          <w:tcPr>
            <w:tcW w:w="1615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Тренінгова команда (студенти спеціальності «Соціальна робота»)</w:t>
            </w:r>
          </w:p>
        </w:tc>
        <w:tc>
          <w:tcPr>
            <w:tcW w:w="803" w:type="dxa"/>
            <w:vAlign w:val="center"/>
          </w:tcPr>
          <w:p w:rsidR="00A27E48" w:rsidRDefault="00A27E48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E48">
        <w:trPr>
          <w:cantSplit/>
          <w:trHeight w:val="1134"/>
        </w:trPr>
        <w:tc>
          <w:tcPr>
            <w:tcW w:w="709" w:type="dxa"/>
            <w:vAlign w:val="center"/>
          </w:tcPr>
          <w:p w:rsidR="00A27E48" w:rsidRDefault="009D319D">
            <w:pPr>
              <w:pStyle w:val="a7"/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18" w:type="dxa"/>
            <w:textDirection w:val="btLr"/>
            <w:vAlign w:val="center"/>
          </w:tcPr>
          <w:p w:rsidR="00A27E48" w:rsidRDefault="009D3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Реалізація</w:t>
            </w:r>
          </w:p>
        </w:tc>
        <w:tc>
          <w:tcPr>
            <w:tcW w:w="141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– травень</w:t>
            </w:r>
          </w:p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2552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формування життєвих компетенцій студентів та школярів.</w:t>
            </w:r>
          </w:p>
          <w:p w:rsidR="00A27E48" w:rsidRDefault="00A27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5 тренінгових програм з тем :</w:t>
            </w:r>
          </w:p>
          <w:p w:rsidR="00A27E48" w:rsidRDefault="009D3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Розвиток комунікативних навичок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(Див. додаток  В)</w:t>
            </w:r>
          </w:p>
          <w:p w:rsidR="00A27E48" w:rsidRDefault="009D3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Профорієнтація</w:t>
            </w:r>
          </w:p>
          <w:p w:rsidR="00A27E48" w:rsidRDefault="009D3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Згуртування колективу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(Див. додаток А)</w:t>
            </w:r>
          </w:p>
          <w:p w:rsidR="00A27E48" w:rsidRDefault="009D319D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Готовність до сімейного життя</w:t>
            </w:r>
          </w:p>
          <w:p w:rsidR="00A27E48" w:rsidRDefault="009D3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Рання вагітність</w:t>
            </w:r>
          </w:p>
          <w:p w:rsidR="00A27E48" w:rsidRDefault="009D3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Пізнай себе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(Див.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додаток Б)</w:t>
            </w:r>
          </w:p>
          <w:p w:rsidR="00A27E48" w:rsidRDefault="00A2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5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Тренінгова команда (студенти спеціальності «Соціальна робота»)</w:t>
            </w:r>
          </w:p>
        </w:tc>
        <w:tc>
          <w:tcPr>
            <w:tcW w:w="803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A27E48">
        <w:trPr>
          <w:cantSplit/>
          <w:trHeight w:val="1134"/>
        </w:trPr>
        <w:tc>
          <w:tcPr>
            <w:tcW w:w="709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18" w:type="dxa"/>
            <w:textDirection w:val="btLr"/>
            <w:vAlign w:val="center"/>
          </w:tcPr>
          <w:p w:rsidR="00A27E48" w:rsidRDefault="009D3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</w:t>
            </w:r>
          </w:p>
        </w:tc>
        <w:tc>
          <w:tcPr>
            <w:tcW w:w="141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– червень, 2016 рік</w:t>
            </w:r>
          </w:p>
          <w:p w:rsidR="00A27E48" w:rsidRDefault="00A27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ефективності тренінгових занять, формування планів на майбутнє стосовно створення тренінгового центру</w:t>
            </w:r>
          </w:p>
        </w:tc>
        <w:tc>
          <w:tcPr>
            <w:tcW w:w="2827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рефлекксіх щодо тренінгових занять.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Написання подальшого плану діяльності</w:t>
            </w:r>
          </w:p>
        </w:tc>
        <w:tc>
          <w:tcPr>
            <w:tcW w:w="1615" w:type="dxa"/>
            <w:vAlign w:val="center"/>
          </w:tcPr>
          <w:p w:rsidR="00A27E48" w:rsidRDefault="009D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Тренінгова команда (студенти спеціальності «Соціальна робота»)</w:t>
            </w:r>
          </w:p>
        </w:tc>
        <w:tc>
          <w:tcPr>
            <w:tcW w:w="803" w:type="dxa"/>
            <w:vAlign w:val="center"/>
          </w:tcPr>
          <w:p w:rsidR="00A27E48" w:rsidRDefault="00A27E48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27E48" w:rsidRDefault="009D319D" w:rsidP="002B4C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презентації проекту:</w:t>
      </w:r>
    </w:p>
    <w:p w:rsidR="00A27E48" w:rsidRDefault="009D319D" w:rsidP="002B4C7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тестового аналізу стосовно доцільності відкриття тренінгового центру; розпов</w:t>
      </w:r>
      <w:r>
        <w:rPr>
          <w:rFonts w:ascii="Times New Roman" w:hAnsi="Times New Roman" w:cs="Times New Roman"/>
          <w:sz w:val="28"/>
          <w:szCs w:val="28"/>
          <w:lang w:val="uk-UA"/>
        </w:rPr>
        <w:t>сюдження інформаційних буклетів щодо напрямів діяльності; поширення матеріалів у мережі Інтернет (група Вконтакті, Facebook, відео–канал YouTube, інтернет – конференції, інтернет- газети); публікації у друкованих ЗМІ, студентських газетах. Проведення конфе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ренції з представниками громадських організацій з метою встановлення тісної співпраці для майбутнього розширення спектру можливостей. 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ході написання тренінгової  програми авторами було досягнуто головної  мети, а саме : </w:t>
      </w:r>
    </w:p>
    <w:p w:rsidR="002B4C70" w:rsidRPr="002B4C70" w:rsidRDefault="002B4C70" w:rsidP="002B4C70">
      <w:pPr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Було розроблено індивідуальні та групові тренінгові програми для всебічного розвитку на кожному етапі потреб учасників.  </w:t>
      </w:r>
    </w:p>
    <w:p w:rsidR="002B4C70" w:rsidRPr="002B4C70" w:rsidRDefault="002B4C70" w:rsidP="002B4C70">
      <w:pPr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Тренерами центру був отриманий досвід в проведенні тренінгових занять, кожний тренінг був відпрацьований на 10 групах. В ході роботи були відмічені позитивні моменти та здобуті відповідні  навички в усуненні непередбачуваних ситуацій. </w:t>
      </w:r>
    </w:p>
    <w:p w:rsidR="002B4C70" w:rsidRPr="002B4C70" w:rsidRDefault="002B4C70" w:rsidP="002B4C70">
      <w:pPr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Проведено низку тренінгових занять для вивчення структури особистості. Виведені індивідуальні критерії роботи з кожною особою з урахування її психологічних, соціальних, економічних цінностей. 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Вже давно франчайзинг є основною робочою моделлю розвитку великих компаній, а також наданням різних послуг. 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Ресурси:</w:t>
      </w: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Людські ресурси:</w:t>
      </w: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>Тренінгова</w:t>
      </w:r>
      <w:proofErr w:type="spellEnd"/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команда у складі якої є: </w:t>
      </w:r>
    </w:p>
    <w:p w:rsidR="002B4C70" w:rsidRPr="002B4C70" w:rsidRDefault="002B4C70" w:rsidP="002B4C70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  спеціаліста соціальної сфери – це особи, які мають відповідний </w:t>
      </w:r>
      <w:r w:rsidRPr="002B4C7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B4C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рівень засвоєних педагогічних знань, мають досвід та</w:t>
      </w:r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r w:rsidRPr="002B4C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можуть ним апелювати у процесі професійної діяльності. Для спеціаліста соціальної сфери педагогічна культура має особливе значення, адже соціальний педагог працює з людьми з особливими потребами і соціальними проблемами, які особливо потребують допомоги;</w:t>
      </w:r>
    </w:p>
    <w:p w:rsidR="002B4C70" w:rsidRPr="002B4C70" w:rsidRDefault="002B4C70" w:rsidP="002B4C70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психолог - це фахівець високого класу, який здійснює діяльність у сфері послуг і взаємодіє з принципом «від людини до людини», а це означає, що в будь-якому випадку вміє добре і правильно взаємодіяти з людьми. </w:t>
      </w:r>
    </w:p>
    <w:p w:rsidR="002B4C70" w:rsidRPr="002B4C70" w:rsidRDefault="002B4C70" w:rsidP="002B4C70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>1 спеціаліст юридичної сфери – професійна діяльність юриста неминуче зачіпає інтереси і зачіпає права не тільки окремих членів, а й в цілому всього суспільства, часом, в тій чи іншій мірі, впливаючи навіть на долі держав. Тому специфіка професії вимагає від людини дотримання певного Кодексу, підвищеної відповідальності, загостреного почуття боргу, непідкупності та високих моральних принципів.</w:t>
      </w:r>
    </w:p>
    <w:p w:rsidR="002B4C70" w:rsidRPr="002B4C70" w:rsidRDefault="002B4C70" w:rsidP="002B4C70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 економіст - </w:t>
      </w:r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 фахівець, який аналізує діяльність підприємства в цілому і розробляє схеми дій на майбутнє, щоб десь заощадити, зменшити витрати і виявити резерви.</w:t>
      </w:r>
      <w:r w:rsidRPr="002B4C7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цілому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економісти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говорити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стисло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фахівці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економічної</w:t>
      </w:r>
      <w:proofErr w:type="spellEnd"/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діяльності.</w:t>
      </w:r>
    </w:p>
    <w:p w:rsidR="002B4C70" w:rsidRPr="002B4C70" w:rsidRDefault="002B4C70" w:rsidP="002B4C70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філолог – </w:t>
      </w:r>
      <w:r w:rsidRPr="002B4C7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професія, що вивчає письмові тексти і на основі їх змістовного, мовного і стилістичного аналізу - історію і сутність духовної культури даного суспільства.</w:t>
      </w:r>
      <w:r w:rsidRPr="002B4C70">
        <w:rPr>
          <w:rFonts w:ascii="Times" w:eastAsia="Calibri" w:hAnsi="Times" w:cs="Times"/>
          <w:b/>
          <w:bCs/>
          <w:i/>
          <w:iCs/>
          <w:color w:val="000000"/>
          <w:sz w:val="36"/>
          <w:szCs w:val="36"/>
          <w:shd w:val="clear" w:color="auto" w:fill="FFFFFF"/>
          <w:lang w:val="uk-UA"/>
        </w:rPr>
        <w:t xml:space="preserve"> 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Всі спеціалісти в сукупності дадуть масовий потенціал, з урахуванням якого, можливо досягти максимально-ефективного вивчення структури особистості. 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Матеріальні ресурси: </w:t>
      </w: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Приміщення </w:t>
      </w:r>
      <w:r w:rsidRPr="002B4C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Центру розвитку особистості на базі ЧДУ ім. П. Могили, </w:t>
      </w: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>конференц-зал університету (для проведення зустрічей з громадськими організаціями). У майбутній перспективі оренда власного приміщення з усіма необхідними матеріалами.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Оригінальність: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Однією з новітніх та досить популярних форм розвитку підприємств є використання в у своїй роботі  франчайзингу, які в свою чергу являються основною робочою моделлю розвитку компаній,які згодом перетворюються на корпорації, якщо слідують чітко відпрацьованим процесам. Тому ми встановили перед собою не лише зазначені цілі попередньо, а й розроблення оригінальної та максимально ефективної системи роботи по наданню «реабілітаційної» роботи з клієнтом чи групою клієнтів. </w:t>
      </w: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Нами чітко прослідковується найефективніша модель співпраці «консультант-клієнт», багаторазово відпрацьовуються різноманітні форми проведення індивідуальних робіт з клієнтом, та відмічаються закономірності в роботі при </w:t>
      </w:r>
      <w:r w:rsidR="009D319D"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>вир</w:t>
      </w:r>
      <w:r w:rsidR="009D319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D319D"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>шенні</w:t>
      </w: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конфліктних ситуацій, з урахуванням максимально-можливих перешкод в процесі співпраці. </w:t>
      </w:r>
    </w:p>
    <w:p w:rsidR="002B4C70" w:rsidRPr="002B4C70" w:rsidRDefault="002B4C70" w:rsidP="002B4C7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сьогоднішній день, існує чимало тренінгових центрів. Але жодний із них не може надати вам чіткого звіту в роботі з різноманітними категоріями </w:t>
      </w:r>
      <w:r w:rsidRPr="002B4C7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клієнтів, які б в свою чергу давали максимально ефективний результат, з мінімальною шкодою для </w:t>
      </w:r>
      <w:r w:rsidR="009D319D">
        <w:rPr>
          <w:rFonts w:ascii="Times New Roman" w:eastAsia="Calibri" w:hAnsi="Times New Roman" w:cs="Times New Roman"/>
          <w:sz w:val="28"/>
          <w:szCs w:val="28"/>
          <w:lang w:val="uk-UA"/>
        </w:rPr>
        <w:t>них.</w:t>
      </w:r>
    </w:p>
    <w:p w:rsidR="00A27E48" w:rsidRDefault="009D319D" w:rsidP="002B4C7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</w:t>
      </w:r>
      <w:r>
        <w:rPr>
          <w:rFonts w:ascii="Times New Roman" w:hAnsi="Times New Roman"/>
          <w:b/>
          <w:sz w:val="28"/>
          <w:szCs w:val="28"/>
          <w:lang w:val="uk-UA"/>
        </w:rPr>
        <w:t>РИ:</w:t>
      </w:r>
    </w:p>
    <w:p w:rsidR="00A27E48" w:rsidRDefault="009D319D" w:rsidP="002B4C70">
      <w:pPr>
        <w:numPr>
          <w:ilvl w:val="0"/>
          <w:numId w:val="1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Афанасьєва В.В. Психолого-педагогічні проблеми соціальної адаптації девіантних підлітків / В.В. Афанасьєва // Соціальна педагогіка: теорія та практика. – 2009. № 2 – С. 65-70</w:t>
      </w:r>
    </w:p>
    <w:p w:rsidR="00A27E48" w:rsidRDefault="009D319D" w:rsidP="002B4C70">
      <w:pPr>
        <w:numPr>
          <w:ilvl w:val="0"/>
          <w:numId w:val="1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Виговський Д. Л. Кримінологічна характеристика впливу кримінальної </w:t>
      </w:r>
      <w:r>
        <w:rPr>
          <w:rFonts w:ascii="Times New Roman" w:hAnsi="Times New Roman" w:cs="Times New Roman"/>
          <w:sz w:val="28"/>
          <w:lang w:val="uk-UA"/>
        </w:rPr>
        <w:t>субкультури на злочинність неповнолітніх в Україні [текст] / Д. Л. Виговський // Університетські наукові записки.  – Хмельницький : ХУУП., – 2007. – №4. – С. 346 – 354</w:t>
      </w:r>
    </w:p>
    <w:p w:rsidR="00A27E48" w:rsidRDefault="009D319D" w:rsidP="002B4C70">
      <w:pPr>
        <w:numPr>
          <w:ilvl w:val="0"/>
          <w:numId w:val="1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Змановская О.В. Девиантология (Психология отклоняющегося поведе- ния): Учеб. пособие для</w:t>
      </w:r>
      <w:r>
        <w:rPr>
          <w:rFonts w:ascii="Times New Roman" w:hAnsi="Times New Roman" w:cs="Times New Roman"/>
          <w:sz w:val="28"/>
          <w:lang w:val="uk-UA"/>
        </w:rPr>
        <w:t xml:space="preserve"> студ. высш. уче</w:t>
      </w:r>
      <w:r w:rsidR="002B4C70">
        <w:rPr>
          <w:rFonts w:ascii="Times New Roman" w:hAnsi="Times New Roman" w:cs="Times New Roman"/>
          <w:sz w:val="28"/>
          <w:lang w:val="uk-UA"/>
        </w:rPr>
        <w:t>б. заведений. - М.: Изд. центр «</w:t>
      </w:r>
      <w:proofErr w:type="spellStart"/>
      <w:r w:rsidR="002B4C70">
        <w:rPr>
          <w:rFonts w:ascii="Times New Roman" w:hAnsi="Times New Roman" w:cs="Times New Roman"/>
          <w:sz w:val="28"/>
          <w:lang w:val="uk-UA"/>
        </w:rPr>
        <w:t>Академия</w:t>
      </w:r>
      <w:proofErr w:type="spellEnd"/>
      <w:r w:rsidR="002B4C70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, 2003. - 228 с.</w:t>
      </w:r>
    </w:p>
    <w:p w:rsidR="00A27E48" w:rsidRDefault="009D319D" w:rsidP="002B4C70">
      <w:pPr>
        <w:numPr>
          <w:ilvl w:val="0"/>
          <w:numId w:val="1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Квітковська Н.В. Психологія девіантної поведінки учнів: умови, причини, особливості виховання, проблемні родини, профілактика та корекція : навч.-метод. Посібник / Н.В. Квітковська. </w:t>
      </w:r>
      <w:r>
        <w:rPr>
          <w:rFonts w:ascii="Times New Roman" w:hAnsi="Times New Roman" w:cs="Times New Roman"/>
          <w:sz w:val="28"/>
          <w:lang w:val="uk-UA"/>
        </w:rPr>
        <w:t>– Миколаїв: Печатний двір. – 2010. – 240 с.</w:t>
      </w:r>
    </w:p>
    <w:p w:rsidR="00A27E48" w:rsidRDefault="009D319D" w:rsidP="002B4C70">
      <w:pPr>
        <w:pStyle w:val="a7"/>
        <w:numPr>
          <w:ilvl w:val="0"/>
          <w:numId w:val="1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Кікалішвілі М.В. Девіантна поведінка: поняття та ознаки / М. В. Кікалішвілі // Вісник Академії адвокатури України. – 3(22). – 2011. . [Електронний ресурс] : Режим доступу : </w:t>
      </w:r>
      <w:hyperlink r:id="rId9" w:history="1">
        <w:r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>file:///C:/Users/User/Downloads/vaau_2011_3_17.pdf</w:t>
        </w:r>
      </w:hyperlink>
    </w:p>
    <w:p w:rsidR="00A27E48" w:rsidRDefault="009D319D" w:rsidP="002B4C70">
      <w:pPr>
        <w:numPr>
          <w:ilvl w:val="0"/>
          <w:numId w:val="1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Мінц М.О. Соціологія девіантної поведінки : навч. посібн. для вузів / М.О. Мінц. – Миколаїв : ЧДУ ім. Петра Могили. – 2010. – 244 с.</w:t>
      </w:r>
    </w:p>
    <w:p w:rsidR="009D319D" w:rsidRDefault="009D319D" w:rsidP="009D319D">
      <w:pPr>
        <w:spacing w:after="20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D319D" w:rsidRDefault="009D319D" w:rsidP="009D319D">
      <w:pPr>
        <w:spacing w:after="20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D319D" w:rsidRPr="002B4C70" w:rsidRDefault="009D319D" w:rsidP="009D319D">
      <w:pPr>
        <w:spacing w:after="20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27E48" w:rsidRDefault="009D319D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Додаток А </w:t>
      </w:r>
    </w:p>
    <w:p w:rsidR="00A27E48" w:rsidRDefault="009D31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ТРЕНІНГОВА ПРОГРАМА</w:t>
      </w:r>
    </w:p>
    <w:p w:rsidR="00A27E48" w:rsidRDefault="009D31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тему: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«</w:t>
      </w:r>
      <w:r>
        <w:rPr>
          <w:rFonts w:ascii="Times New Roman" w:eastAsia="Calibri" w:hAnsi="Times New Roman" w:cs="Times New Roman"/>
          <w:b/>
          <w:sz w:val="28"/>
          <w:lang w:val="uk-UA"/>
        </w:rPr>
        <w:t>Згуртування колективу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A27E48" w:rsidRDefault="009D319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ВСТУП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Кожна людина є істотою</w:t>
      </w:r>
      <w:r>
        <w:rPr>
          <w:rFonts w:ascii="Times New Roman" w:hAnsi="Times New Roman" w:cs="Times New Roman"/>
          <w:sz w:val="28"/>
          <w:lang w:val="uk-UA"/>
        </w:rPr>
        <w:t xml:space="preserve"> соціальною, а тому залежить від тих особистостей, що її оточують та яке враження на неї справляють. На кожному етапі розвитку індивіда, важливим елементом є його соціалізація, тобто процес входження у соціум, групу та взаємодія з іншим. Опинившись у будь-</w:t>
      </w:r>
      <w:r>
        <w:rPr>
          <w:rFonts w:ascii="Times New Roman" w:hAnsi="Times New Roman" w:cs="Times New Roman"/>
          <w:sz w:val="28"/>
          <w:lang w:val="uk-UA"/>
        </w:rPr>
        <w:t>яких нових умовах існування, не властивих їй, кожна особистість переживає різного виду психологічні кризи, зіштовхується з загальноприйнятими стигмами та стереотипами, які тою чи іншою мірою впливають  на її як психологічний, так і фізичний стан. Від злаго</w:t>
      </w:r>
      <w:r>
        <w:rPr>
          <w:rFonts w:ascii="Times New Roman" w:hAnsi="Times New Roman" w:cs="Times New Roman"/>
          <w:sz w:val="28"/>
          <w:lang w:val="uk-UA"/>
        </w:rPr>
        <w:t>дженості групи у якій опиняється новий член колективу залежить його продуктивність, досягнення загальних цілей та соціальний настрій. Як відомо, тренінг виступає одним з найефективніших методів взаємодії колективу та покращення його загального клімату. Зас</w:t>
      </w:r>
      <w:r>
        <w:rPr>
          <w:rFonts w:ascii="Times New Roman" w:hAnsi="Times New Roman" w:cs="Times New Roman"/>
          <w:sz w:val="28"/>
          <w:lang w:val="uk-UA"/>
        </w:rPr>
        <w:t>тосування даного методу в сучасній навчальній програмі, дає можливість активізувати весь спектр особистісних і групових якостей групи, її знань, умінь і навичок.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Запропонована авторами тренінгова програма є сучасною технологією соціальної роботи  у здійсне</w:t>
      </w:r>
      <w:r>
        <w:rPr>
          <w:rFonts w:ascii="Times New Roman" w:hAnsi="Times New Roman" w:cs="Times New Roman"/>
          <w:sz w:val="28"/>
          <w:lang w:val="uk-UA"/>
        </w:rPr>
        <w:t>нні професійної діяльності.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Ефективність впровадження даної програми обумовлюється компетентністю та готовністю тренерів до проведення групової роботи. Тому при складанні тренінгової програми авторами були враховані особливості та принципи навчання студент</w:t>
      </w:r>
      <w:r>
        <w:rPr>
          <w:rFonts w:ascii="Times New Roman" w:hAnsi="Times New Roman" w:cs="Times New Roman"/>
          <w:sz w:val="28"/>
          <w:lang w:val="uk-UA"/>
        </w:rPr>
        <w:t xml:space="preserve">ів, специфіка їх професійної діяльності та теми тренінгу. </w:t>
      </w:r>
    </w:p>
    <w:p w:rsidR="00A27E48" w:rsidRDefault="00A27E48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A27E48" w:rsidRDefault="00A27E48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A27E48" w:rsidRDefault="00A27E4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7E48" w:rsidRDefault="00A27E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7E48" w:rsidRDefault="009D319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  <w:lastRenderedPageBreak/>
        <w:t>І. ЗАГАЛЬНА МЕТА: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згуртування колективу і побудова ефективного командної взаємодії.</w:t>
      </w:r>
    </w:p>
    <w:p w:rsidR="00A27E48" w:rsidRDefault="009D319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  <w:t>ІІ. ЗАВДАННЯ:</w:t>
      </w:r>
    </w:p>
    <w:p w:rsidR="00A27E48" w:rsidRDefault="009D319D">
      <w:pPr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Формування і посилення загального командного духу, шляхом згуртування групи;</w:t>
      </w:r>
    </w:p>
    <w:p w:rsidR="00A27E48" w:rsidRDefault="009D319D">
      <w:pPr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Розвиток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відповідальності і внеску кожного учасника у вирішенні спільних завдань;</w:t>
      </w:r>
    </w:p>
    <w:p w:rsidR="00A27E48" w:rsidRDefault="009D319D">
      <w:pPr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Отримання емоційного і фізичного задоволення від результатів тренінгу;</w:t>
      </w:r>
    </w:p>
    <w:p w:rsidR="00A27E48" w:rsidRDefault="009D319D">
      <w:pPr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Усвідомлення себе командою.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ІІІ. МЕТОДОЛОГІЧНІ АСПЕКТИ ТРЕНІНГУ: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 час тренінгу використовувались: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lang w:val="uk-UA"/>
        </w:rPr>
        <w:t>інформаційні повідомлення;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мозкові штурми;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робота в малих групах;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вправи;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ігри;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міні-лекція.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IV. МЕТА ТРЕНЕРІВ: </w:t>
      </w:r>
      <w:r>
        <w:rPr>
          <w:rFonts w:ascii="Times New Roman" w:hAnsi="Times New Roman" w:cs="Times New Roman"/>
          <w:sz w:val="28"/>
          <w:lang w:val="uk-UA"/>
        </w:rPr>
        <w:t>створення необхідних умов емоційного, психологічного та колективного розвитку кожної особистості для досягнення загальних цілей тренін</w:t>
      </w:r>
      <w:r>
        <w:rPr>
          <w:rFonts w:ascii="Times New Roman" w:hAnsi="Times New Roman" w:cs="Times New Roman"/>
          <w:sz w:val="28"/>
          <w:lang w:val="uk-UA"/>
        </w:rPr>
        <w:t>гу та індивідуальних цілей учасників в рамках теми.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V. ЦІЛЬОВА ГРУПА: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студенти 15-20 чоловік.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VI. РЕЖИМ РОБОТИ:</w:t>
      </w:r>
      <w:r>
        <w:rPr>
          <w:rFonts w:ascii="Times New Roman" w:hAnsi="Times New Roman" w:cs="Times New Roman"/>
          <w:bCs/>
          <w:sz w:val="28"/>
          <w:lang w:val="uk-UA"/>
        </w:rPr>
        <w:t xml:space="preserve"> 1год.10 хв.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VII. ОСНОВНИЙ ЗМІСТ РОБОТИ: </w:t>
      </w:r>
      <w:r>
        <w:rPr>
          <w:rFonts w:ascii="Times New Roman" w:hAnsi="Times New Roman" w:cs="Times New Roman"/>
          <w:sz w:val="28"/>
          <w:lang w:val="uk-UA"/>
        </w:rPr>
        <w:t>складає одна зустріч, спрямована на покращення колективної взаємодії у групі студентів.</w:t>
      </w:r>
    </w:p>
    <w:p w:rsidR="00A27E48" w:rsidRDefault="009D319D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VIІI. ОРГАНІЗАЦІЙНА ЧАСТИНА:  </w:t>
      </w:r>
      <w:r>
        <w:rPr>
          <w:rFonts w:ascii="Times New Roman" w:hAnsi="Times New Roman" w:cs="Times New Roman"/>
          <w:sz w:val="28"/>
          <w:lang w:val="uk-UA"/>
        </w:rPr>
        <w:t>меблі в аудиторії мають бути розставлені у вигляді кола, щоб сприяти благополучному спілкуванню між тренером і учасниками.</w:t>
      </w:r>
    </w:p>
    <w:p w:rsidR="00A27E48" w:rsidRDefault="00A27E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7E48" w:rsidRDefault="00A27E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7E48" w:rsidRDefault="009D31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tbl>
      <w:tblPr>
        <w:tblStyle w:val="a8"/>
        <w:tblpPr w:leftFromText="180" w:rightFromText="180" w:vertAnchor="page" w:horzAnchor="margin" w:tblpY="2281"/>
        <w:tblW w:w="9969" w:type="dxa"/>
        <w:tblLook w:val="04A0" w:firstRow="1" w:lastRow="0" w:firstColumn="1" w:lastColumn="0" w:noHBand="0" w:noVBand="1"/>
      </w:tblPr>
      <w:tblGrid>
        <w:gridCol w:w="850"/>
        <w:gridCol w:w="4721"/>
        <w:gridCol w:w="3098"/>
        <w:gridCol w:w="1292"/>
        <w:gridCol w:w="8"/>
      </w:tblGrid>
      <w:tr w:rsidR="00A27E48">
        <w:trPr>
          <w:gridAfter w:val="1"/>
          <w:wAfter w:w="8" w:type="dxa"/>
          <w:trHeight w:val="448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1292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Додатки</w:t>
            </w:r>
          </w:p>
        </w:tc>
      </w:tr>
      <w:tr w:rsidR="00A27E48">
        <w:trPr>
          <w:gridAfter w:val="1"/>
          <w:wAfter w:w="8" w:type="dxa"/>
          <w:trHeight w:val="940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Вступне слово тренера та представлення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тренінгової команди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 виступи кожного з тренерів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«Очікування»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Надувні кульки, маркери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1388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«Правила поведінки»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 на дошці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1388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«Знайомство»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музика та іграшка,  яку потрібно передавати по колу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«Що таке згуртованість колективу?»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 на дошці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«Почуй мене»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Музика, навушники, вислови.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463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«Квадрат»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музика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«Є контакт»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Заготівки слів, дошка, крейда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1865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«Ритуал прощання»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Повітряні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кульки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hd w:val="clear" w:color="auto" w:fill="FFFFFF"/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Рефлексія «Тут і тепер»</w:t>
            </w:r>
          </w:p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292" w:type="dxa"/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1243"/>
        </w:trPr>
        <w:tc>
          <w:tcPr>
            <w:tcW w:w="850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vAlign w:val="center"/>
          </w:tcPr>
          <w:p w:rsidR="00A27E48" w:rsidRDefault="009D319D">
            <w:pPr>
              <w:shd w:val="clear" w:color="auto" w:fill="FFFFFF"/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Підведення підсумків «Анкетування»</w:t>
            </w:r>
          </w:p>
        </w:tc>
        <w:tc>
          <w:tcPr>
            <w:tcW w:w="3098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Анкети, легка музика</w:t>
            </w:r>
          </w:p>
        </w:tc>
        <w:tc>
          <w:tcPr>
            <w:tcW w:w="1292" w:type="dxa"/>
            <w:vAlign w:val="center"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7E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571" w:type="dxa"/>
            <w:gridSpan w:val="2"/>
          </w:tcPr>
          <w:p w:rsidR="00A27E48" w:rsidRDefault="009D31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час проведення тренінгу: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A27E48" w:rsidRDefault="009D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 хвилин = 1год 10 хв.</w:t>
            </w:r>
          </w:p>
        </w:tc>
      </w:tr>
    </w:tbl>
    <w:p w:rsidR="00A27E48" w:rsidRDefault="00A27E4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7E48" w:rsidRDefault="00A27E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D319D" w:rsidRDefault="009D31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D319D" w:rsidRDefault="009D31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7E48" w:rsidRDefault="009D319D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Додаток Б</w:t>
      </w:r>
    </w:p>
    <w:p w:rsidR="00A27E48" w:rsidRDefault="009D319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ТРЕНІНГОВА ПРОГРАМА</w:t>
      </w:r>
    </w:p>
    <w:p w:rsidR="00A27E48" w:rsidRDefault="009D319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тему:</w:t>
      </w:r>
      <w:r>
        <w:rPr>
          <w:rFonts w:ascii="Times New Roman" w:hAnsi="Times New Roman" w:cs="Times New Roman"/>
          <w:b/>
          <w:sz w:val="28"/>
          <w:lang w:val="uk-UA"/>
        </w:rPr>
        <w:t xml:space="preserve"> «Пізнай себе»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ВСТУП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 сучасному світі, в швидкому русі життя так важко залишатися справжньою жінкою і жити на повну. Завжди щось заважає… Буденні справи, стрес, невпевненість у собі, конфлікти, як в особистому житті, так і в навчанні (роботі). Сама не цих проблемах зосередже</w:t>
      </w:r>
      <w:r>
        <w:rPr>
          <w:rFonts w:ascii="Times New Roman" w:hAnsi="Times New Roman" w:cs="Times New Roman"/>
          <w:sz w:val="28"/>
          <w:lang w:val="uk-UA"/>
        </w:rPr>
        <w:t xml:space="preserve">на тренінгові програма, яка допоможе більше зрозуміти себе, знайти нові методи боротьби зі стресом та конфліктами. 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Даний тренінг присвячений жіночій половині людства, але можуть брати участь і хлопці. Як відомо, тренінг виступає одним з найефективніших ме</w:t>
      </w:r>
      <w:r>
        <w:rPr>
          <w:rFonts w:ascii="Times New Roman" w:hAnsi="Times New Roman" w:cs="Times New Roman"/>
          <w:sz w:val="28"/>
          <w:lang w:val="uk-UA"/>
        </w:rPr>
        <w:t>тодів взаємодії, засвоєння інформації та використання її на практиці. Застосування даного методу дає можливість активізувати весь спектр особистісних якостей учасника і пізнати себе більше на шляху до внутрішньої гармонії.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Запропонована авторами тренінгова</w:t>
      </w:r>
      <w:r>
        <w:rPr>
          <w:rFonts w:ascii="Times New Roman" w:hAnsi="Times New Roman" w:cs="Times New Roman"/>
          <w:sz w:val="28"/>
          <w:lang w:val="uk-UA"/>
        </w:rPr>
        <w:t xml:space="preserve"> програма є сучасною технологією соціальної роботи. Даний тренінг присвячений жіночій половині людства, може застосовуватися як в шкільному, так і студентському колективі.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Ефективність впровадження даної програми обумовлюється компетентністю та готовністю </w:t>
      </w:r>
      <w:r>
        <w:rPr>
          <w:rFonts w:ascii="Times New Roman" w:hAnsi="Times New Roman" w:cs="Times New Roman"/>
          <w:sz w:val="28"/>
          <w:lang w:val="uk-UA"/>
        </w:rPr>
        <w:t xml:space="preserve">тренерів до проведення групової роботи. Тому при складанні тренінгової програми авторами були враховані особливості поведінки в конфліктних та стресових ситуаціях та методів підвищення самооцінки та впевненості у собі. </w:t>
      </w:r>
    </w:p>
    <w:p w:rsidR="00A27E48" w:rsidRDefault="00A27E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7E48" w:rsidRDefault="00A27E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D319D" w:rsidRDefault="009D31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7E48" w:rsidRDefault="009D31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  <w:lastRenderedPageBreak/>
        <w:t>І. ЗАГАЛЬНА МЕТА: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пізнаючи себе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, навчитися новим методам подолання стресу та конфліктних ситуацій.</w:t>
      </w:r>
    </w:p>
    <w:p w:rsidR="00A27E48" w:rsidRDefault="009D31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  <w:t>ІІ. ЗАВДАННЯ:</w:t>
      </w:r>
    </w:p>
    <w:p w:rsidR="00A27E48" w:rsidRDefault="009D319D">
      <w:pPr>
        <w:numPr>
          <w:ilvl w:val="0"/>
          <w:numId w:val="1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Формування і посилення навичок поведінки у конфліктних ситуаціях стресостійкості;</w:t>
      </w:r>
    </w:p>
    <w:p w:rsidR="00A27E48" w:rsidRDefault="009D319D">
      <w:pPr>
        <w:numPr>
          <w:ilvl w:val="0"/>
          <w:numId w:val="1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Розвиток впевненості у собі;</w:t>
      </w:r>
    </w:p>
    <w:p w:rsidR="00A27E48" w:rsidRDefault="009D319D">
      <w:pPr>
        <w:numPr>
          <w:ilvl w:val="0"/>
          <w:numId w:val="1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Отримання емоційного і фізичного задоволення від результатів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тренінгу;</w:t>
      </w:r>
    </w:p>
    <w:p w:rsidR="00A27E48" w:rsidRDefault="009D319D">
      <w:pPr>
        <w:numPr>
          <w:ilvl w:val="0"/>
          <w:numId w:val="1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Усвідомлення себе індивідуальністю, жінкою, яка може жити на повну, не зважаючи на проблеми, що турбують.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ІІІ. МЕТОДОЛОГІЧНІ АСПЕКТИ ТРЕНІНГУ: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 час тренінгу використовувались: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інформаційні повідомлення;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мозкові штурми;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• робота в малих </w:t>
      </w:r>
      <w:r>
        <w:rPr>
          <w:rFonts w:ascii="Times New Roman" w:hAnsi="Times New Roman" w:cs="Times New Roman"/>
          <w:sz w:val="28"/>
          <w:lang w:val="uk-UA"/>
        </w:rPr>
        <w:t>групах;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вправи;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презентації;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ігри;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міні-лекція;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 рольова гра.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IV. МЕТА ТРЕНЕРІВ: </w:t>
      </w:r>
      <w:r>
        <w:rPr>
          <w:rFonts w:ascii="Times New Roman" w:hAnsi="Times New Roman" w:cs="Times New Roman"/>
          <w:sz w:val="28"/>
          <w:lang w:val="uk-UA"/>
        </w:rPr>
        <w:t>створення необхідних умов емоційного, психологічного та колективного розвитку кожної особистості для досягнення загальних цілей тренінгу та індивідуальних цілей учасн</w:t>
      </w:r>
      <w:r>
        <w:rPr>
          <w:rFonts w:ascii="Times New Roman" w:hAnsi="Times New Roman" w:cs="Times New Roman"/>
          <w:sz w:val="28"/>
          <w:lang w:val="uk-UA"/>
        </w:rPr>
        <w:t>иків в рамках теми.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V. ЦІЛЬОВА ГРУПА: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студенти 15-20 чоловік.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VI. РЕЖИМ РОБОТИ:</w:t>
      </w:r>
      <w:r>
        <w:rPr>
          <w:rFonts w:ascii="Times New Roman" w:hAnsi="Times New Roman" w:cs="Times New Roman"/>
          <w:bCs/>
          <w:sz w:val="28"/>
          <w:lang w:val="uk-UA"/>
        </w:rPr>
        <w:t xml:space="preserve"> 1:10</w:t>
      </w:r>
    </w:p>
    <w:p w:rsidR="00A27E48" w:rsidRDefault="009D319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VII. ОСНОВНИЙ ЗМІСТ РОБОТИ: </w:t>
      </w:r>
      <w:r>
        <w:rPr>
          <w:rFonts w:ascii="Times New Roman" w:hAnsi="Times New Roman" w:cs="Times New Roman"/>
          <w:sz w:val="28"/>
          <w:lang w:val="uk-UA"/>
        </w:rPr>
        <w:t>складає одна зустріч, спрямована на покращення колективної взаємодії у групі студентів.</w:t>
      </w:r>
    </w:p>
    <w:p w:rsidR="00A27E48" w:rsidRDefault="00A27E48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27E48" w:rsidRDefault="00A27E48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27E48" w:rsidRDefault="00A27E48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27E48" w:rsidRDefault="009D319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ЗМІСТ ПРОГРАМИ </w:t>
      </w:r>
    </w:p>
    <w:tbl>
      <w:tblPr>
        <w:tblStyle w:val="a8"/>
        <w:tblpPr w:leftFromText="180" w:rightFromText="180" w:vertAnchor="page" w:horzAnchor="margin" w:tblpY="2281"/>
        <w:tblW w:w="9969" w:type="dxa"/>
        <w:tblLook w:val="04A0" w:firstRow="1" w:lastRow="0" w:firstColumn="1" w:lastColumn="0" w:noHBand="0" w:noVBand="1"/>
      </w:tblPr>
      <w:tblGrid>
        <w:gridCol w:w="850"/>
        <w:gridCol w:w="4721"/>
        <w:gridCol w:w="3098"/>
        <w:gridCol w:w="1292"/>
        <w:gridCol w:w="8"/>
      </w:tblGrid>
      <w:tr w:rsidR="00A27E48">
        <w:trPr>
          <w:gridAfter w:val="1"/>
          <w:wAfter w:w="8" w:type="dxa"/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Додатки</w:t>
            </w:r>
          </w:p>
        </w:tc>
      </w:tr>
      <w:tr w:rsidR="00A27E48">
        <w:trPr>
          <w:gridAfter w:val="1"/>
          <w:wAfter w:w="8" w:type="dxa"/>
          <w:trHeight w:val="9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Вступне слово тренера та представлення тренінгової команди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 виступи кожного з тренерів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«Дорога»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стікери у вигляді великих дорожніх камінців, маркери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1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«Правила поведінки»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 на дошці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1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Мене звати…Я роблю так»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«Методи виховання»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аркуші паперу, маркери.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 Ідеальна жінка»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підготовлений ватман, олівці, фломастери, музика.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Сік. Чай. Шейк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</w:t>
            </w:r>
            <w:r>
              <w:rPr>
                <w:rFonts w:ascii="Times New Roman" w:hAnsi="Times New Roman" w:cs="Times New Roman"/>
                <w:lang w:val="uk-UA"/>
              </w:rPr>
              <w:t xml:space="preserve"> Малюємо стрес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олівці, фломастери, аркуші паперу.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1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Заготовлені ситуації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9D319D">
            <w:pPr>
              <w:shd w:val="clear" w:color="auto" w:fill="FFFFFF"/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Рефлексія «Тут і тепер»</w:t>
            </w:r>
          </w:p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gridAfter w:val="1"/>
          <w:wAfter w:w="8" w:type="dxa"/>
          <w:trHeight w:val="1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hd w:val="clear" w:color="auto" w:fill="FFFFFF"/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Підведення підсумків «Анкетування»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Анкети, легка музика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7E48">
        <w:trPr>
          <w:trHeight w:val="390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48" w:rsidRDefault="009D31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час проведення тренінгу: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48" w:rsidRDefault="009D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 хвилин = 1год 10 хв.</w:t>
            </w:r>
          </w:p>
        </w:tc>
      </w:tr>
    </w:tbl>
    <w:p w:rsidR="00A27E48" w:rsidRDefault="00A27E4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27E48" w:rsidRDefault="00A27E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7E48" w:rsidRDefault="009D319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В</w:t>
      </w:r>
    </w:p>
    <w:p w:rsidR="00A27E48" w:rsidRDefault="009D319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ТРЕНІНГОВА ПРОГРАМА</w:t>
      </w:r>
    </w:p>
    <w:p w:rsidR="00A27E48" w:rsidRDefault="009D319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тему:</w:t>
      </w:r>
    </w:p>
    <w:p w:rsidR="00A27E48" w:rsidRDefault="009D319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«Розвиток комунікативних навичок»</w:t>
      </w:r>
    </w:p>
    <w:p w:rsidR="00A27E48" w:rsidRDefault="009D3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завжди було значимим у житті людини та її особистісному розвитку. 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спілкування традиційно перебуває в центрі уваги вітчизняних соціальних психологів у звязку з її значимістю в усіх сферах життєд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іяльності людини і соціальних груп. Людина без спілкування не може жити серед людей, розвиватися і творити. 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структурі міжособистісного спілкування виділяють основний зміст спілкування, а саме: передачу інформації, взаємодія, пізнання людьми один одного.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Передача інформації розглядається як комунікативний аспект спілкування; взаємодія як інтерактивний аспект спілкування; розуміння і пізнання людьми один одного. Тому важливо вміти спілкуватися, грамотно доносити свої думки, щоб тебе могли зрозуміти. 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  <w:t>І. ЗА</w:t>
      </w:r>
      <w:r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  <w:t>ГАЛЬНА 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розвинути в учасників тренінгу комунікативних навичок.</w:t>
      </w:r>
    </w:p>
    <w:p w:rsidR="00A27E48" w:rsidRDefault="009D31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 w:eastAsia="ru-RU"/>
        </w:rPr>
        <w:t>ІІ. ЗАВДАННЯ:</w:t>
      </w:r>
    </w:p>
    <w:p w:rsidR="00A27E48" w:rsidRDefault="009D319D">
      <w:pPr>
        <w:pStyle w:val="a7"/>
        <w:numPr>
          <w:ilvl w:val="1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відпрацювати навички переконання</w:t>
      </w:r>
    </w:p>
    <w:p w:rsidR="00A27E48" w:rsidRDefault="009D319D">
      <w:pPr>
        <w:pStyle w:val="a7"/>
        <w:numPr>
          <w:ilvl w:val="1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відпрацювати вміння знайти аргументи на користь своєї позиції</w:t>
      </w:r>
    </w:p>
    <w:p w:rsidR="00A27E48" w:rsidRDefault="009D319D">
      <w:pPr>
        <w:pStyle w:val="a7"/>
        <w:numPr>
          <w:ilvl w:val="1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розвинути вміння знаходити підхід до людей</w:t>
      </w:r>
    </w:p>
    <w:p w:rsidR="00A27E48" w:rsidRDefault="009D319D">
      <w:pPr>
        <w:pStyle w:val="a7"/>
        <w:numPr>
          <w:ilvl w:val="1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підкреслити важливість інтонацій у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процесі комунікації.</w:t>
      </w:r>
    </w:p>
    <w:p w:rsidR="00A27E48" w:rsidRDefault="009D319D">
      <w:pPr>
        <w:pStyle w:val="a7"/>
        <w:numPr>
          <w:ilvl w:val="1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вміння невербального засобу спілкування.</w:t>
      </w:r>
    </w:p>
    <w:p w:rsidR="00A27E48" w:rsidRDefault="009D319D">
      <w:pPr>
        <w:pStyle w:val="a7"/>
        <w:numPr>
          <w:ilvl w:val="1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 ефективним способам спілкування.</w:t>
      </w:r>
    </w:p>
    <w:p w:rsidR="00A27E48" w:rsidRDefault="009D31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ІІІ. МЕТОДОЛОГІЧНІ АСПЕКТИ ТРЕНІНГУ: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тренінгу використовувались: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інформаційні повідомлення;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робота в малих групах;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вправи;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презе</w:t>
      </w:r>
      <w:r>
        <w:rPr>
          <w:rFonts w:ascii="Times New Roman" w:hAnsi="Times New Roman" w:cs="Times New Roman"/>
          <w:sz w:val="28"/>
          <w:szCs w:val="28"/>
          <w:lang w:val="uk-UA"/>
        </w:rPr>
        <w:t>нтації;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ігри;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рольова гра.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sz w:val="28"/>
          <w:lang w:val="uk-UA"/>
        </w:rPr>
        <w:t xml:space="preserve">IV. МЕТА ТРЕНЕРІВ: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умови для досягнення загальних цілей тренінгу та індивідуальних цілей учасників в рамках теми.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V. ЦІЛЬОВА ГРУПА: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студенти,</w:t>
      </w:r>
      <w:r>
        <w:rPr>
          <w:rFonts w:ascii="Times New Roman" w:hAnsi="Times New Roman" w:cs="Times New Roman"/>
          <w:bCs/>
          <w:sz w:val="28"/>
          <w:lang w:val="uk-UA"/>
        </w:rPr>
        <w:t xml:space="preserve"> 15-20 чоловік.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VI. РЕЖИМ РОБОТИ: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год. 20 хв.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VII. ОСНОВНИЙ ЗМІСТ РОБОТИ: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основний зміст тренінгу складає «Розвиток комунікативних навичок».</w:t>
      </w:r>
    </w:p>
    <w:p w:rsidR="00A27E48" w:rsidRDefault="009D3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VIІI. ОРГАНІЗАЦІЙНА ЧАСТИНА:  </w:t>
      </w:r>
      <w:r>
        <w:rPr>
          <w:rFonts w:ascii="Times New Roman" w:hAnsi="Times New Roman" w:cs="Times New Roman"/>
          <w:sz w:val="28"/>
          <w:szCs w:val="28"/>
          <w:lang w:val="uk-UA"/>
        </w:rPr>
        <w:t>меблі повинні бути розставленні у вигляді кола, щоб учасники і тренер відчували себе комфортно.</w:t>
      </w: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A27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48" w:rsidRDefault="009D319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tbl>
      <w:tblPr>
        <w:tblStyle w:val="a8"/>
        <w:tblW w:w="9680" w:type="dxa"/>
        <w:tblLook w:val="04A0" w:firstRow="1" w:lastRow="0" w:firstColumn="1" w:lastColumn="0" w:noHBand="0" w:noVBand="1"/>
      </w:tblPr>
      <w:tblGrid>
        <w:gridCol w:w="852"/>
        <w:gridCol w:w="5299"/>
        <w:gridCol w:w="2293"/>
        <w:gridCol w:w="1236"/>
      </w:tblGrid>
      <w:tr w:rsidR="00A27E48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Додатки</w:t>
            </w:r>
          </w:p>
        </w:tc>
      </w:tr>
      <w:tr w:rsidR="00A27E48">
        <w:trPr>
          <w:trHeight w:val="7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1хв.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8" w:rsidRDefault="00A27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trHeight w:val="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3хв.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Вступна бесіда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7E48">
        <w:trPr>
          <w:trHeight w:val="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5хв.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 Це моє ім’я»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trHeight w:val="7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15хв.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 Сім богатирів»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trHeight w:val="10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15хв.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 Сніданок з героєм»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супровід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trHeight w:val="2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15хв.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 Передати одним словом»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розміром з візитну картку з надрукованими на них назвами емоцій.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trHeight w:val="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5хв.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 Загальна увага»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trHeight w:val="7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10хв.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Вправа» Моя проблема в спілкуванні»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Папір,ручки, презентація.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6хв.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«Передай іншому»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супровід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48" w:rsidRDefault="00A27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E48">
        <w:trPr>
          <w:trHeight w:val="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5хв.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кінець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48" w:rsidRDefault="009D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7E48">
        <w:trPr>
          <w:trHeight w:val="693"/>
        </w:trPr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48" w:rsidRDefault="009D31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час проведення тренінгу: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48" w:rsidRDefault="009D31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 хвилин = 1 год. 20 хв.</w:t>
            </w:r>
          </w:p>
        </w:tc>
      </w:tr>
    </w:tbl>
    <w:p w:rsidR="00A27E48" w:rsidRDefault="00A27E48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A27E4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19D">
      <w:pPr>
        <w:spacing w:after="0" w:line="240" w:lineRule="auto"/>
      </w:pPr>
      <w:r>
        <w:separator/>
      </w:r>
    </w:p>
  </w:endnote>
  <w:endnote w:type="continuationSeparator" w:id="0">
    <w:p w:rsidR="00000000" w:rsidRDefault="009D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19D">
      <w:pPr>
        <w:spacing w:after="0" w:line="240" w:lineRule="auto"/>
      </w:pPr>
      <w:r>
        <w:separator/>
      </w:r>
    </w:p>
  </w:footnote>
  <w:footnote w:type="continuationSeparator" w:id="0">
    <w:p w:rsidR="00000000" w:rsidRDefault="009D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48" w:rsidRDefault="009D319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27E48" w:rsidRDefault="00A27E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DC6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C7EC142"/>
    <w:lvl w:ilvl="0" w:tplc="1F0A49B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ABA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2E04A68"/>
    <w:lvl w:ilvl="0" w:tplc="0422000D">
      <w:start w:val="1"/>
      <w:numFmt w:val="bullet"/>
      <w:lvlText w:val=""/>
      <w:lvlJc w:val="left"/>
      <w:pPr>
        <w:ind w:left="1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F2CB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BA8D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95E1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E3C4FAC"/>
    <w:lvl w:ilvl="0" w:tplc="0422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02415E0"/>
    <w:lvl w:ilvl="0" w:tplc="95F419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0000009"/>
    <w:multiLevelType w:val="hybridMultilevel"/>
    <w:tmpl w:val="6E14926A"/>
    <w:lvl w:ilvl="0" w:tplc="960CD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000000A"/>
    <w:multiLevelType w:val="hybridMultilevel"/>
    <w:tmpl w:val="9926F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77A56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C002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D768A22"/>
    <w:lvl w:ilvl="0" w:tplc="257EE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D942DB8">
      <w:start w:val="1"/>
      <w:numFmt w:val="bullet"/>
      <w:lvlText w:val="•"/>
      <w:lvlJc w:val="left"/>
      <w:pPr>
        <w:ind w:left="1692" w:hanging="4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000000E"/>
    <w:multiLevelType w:val="hybridMultilevel"/>
    <w:tmpl w:val="C04A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D50CE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8C0FDAE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D565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85882B3E"/>
    <w:lvl w:ilvl="0" w:tplc="21B44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A1D030E"/>
    <w:multiLevelType w:val="hybridMultilevel"/>
    <w:tmpl w:val="9DA0799E"/>
    <w:lvl w:ilvl="0" w:tplc="354879A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F011F01"/>
    <w:multiLevelType w:val="hybridMultilevel"/>
    <w:tmpl w:val="BC7EC142"/>
    <w:lvl w:ilvl="0" w:tplc="1F0A49B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  <w:num w:numId="16">
    <w:abstractNumId w:val="14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48"/>
    <w:rsid w:val="002B4C70"/>
    <w:rsid w:val="009D319D"/>
    <w:rsid w:val="00A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styleId="a9">
    <w:name w:val="Hyperlink"/>
    <w:basedOn w:val="a0"/>
    <w:uiPriority w:val="99"/>
    <w:rPr>
      <w:color w:val="0563C1"/>
      <w:u w:val="single"/>
    </w:rPr>
  </w:style>
  <w:style w:type="paragraph" w:customStyle="1" w:styleId="ListParagraph">
    <w:name w:val="&quot;List Paragraph&quot;"/>
    <w:qFormat/>
    <w:pPr>
      <w:spacing w:after="0"/>
    </w:pPr>
    <w:rPr>
      <w:sz w:val="21"/>
    </w:rPr>
  </w:style>
  <w:style w:type="paragraph" w:customStyle="1" w:styleId="footer">
    <w:name w:val="&quot;footer&quot;"/>
    <w:pPr>
      <w:tabs>
        <w:tab w:val="center" w:pos="4660"/>
        <w:tab w:val="right" w:pos="9340"/>
      </w:tabs>
      <w:spacing w:after="0" w:line="240" w:lineRule="auto"/>
    </w:pPr>
    <w:rPr>
      <w:sz w:val="21"/>
    </w:rPr>
  </w:style>
  <w:style w:type="paragraph" w:customStyle="1" w:styleId="header">
    <w:name w:val="&quot;header&quot;"/>
    <w:pPr>
      <w:tabs>
        <w:tab w:val="center" w:pos="4660"/>
        <w:tab w:val="right" w:pos="9340"/>
      </w:tabs>
      <w:spacing w:after="0" w:line="240" w:lineRule="auto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styleId="a9">
    <w:name w:val="Hyperlink"/>
    <w:basedOn w:val="a0"/>
    <w:uiPriority w:val="99"/>
    <w:rPr>
      <w:color w:val="0563C1"/>
      <w:u w:val="single"/>
    </w:rPr>
  </w:style>
  <w:style w:type="paragraph" w:customStyle="1" w:styleId="ListParagraph">
    <w:name w:val="&quot;List Paragraph&quot;"/>
    <w:qFormat/>
    <w:pPr>
      <w:spacing w:after="0"/>
    </w:pPr>
    <w:rPr>
      <w:sz w:val="21"/>
    </w:rPr>
  </w:style>
  <w:style w:type="paragraph" w:customStyle="1" w:styleId="footer">
    <w:name w:val="&quot;footer&quot;"/>
    <w:pPr>
      <w:tabs>
        <w:tab w:val="center" w:pos="4660"/>
        <w:tab w:val="right" w:pos="9340"/>
      </w:tabs>
      <w:spacing w:after="0" w:line="240" w:lineRule="auto"/>
    </w:pPr>
    <w:rPr>
      <w:sz w:val="21"/>
    </w:rPr>
  </w:style>
  <w:style w:type="paragraph" w:customStyle="1" w:styleId="header">
    <w:name w:val="&quot;header&quot;"/>
    <w:pPr>
      <w:tabs>
        <w:tab w:val="center" w:pos="4660"/>
        <w:tab w:val="right" w:pos="9340"/>
      </w:tabs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C:/Users/User/Downloads/vaau_2011_3_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8152-C0F0-4F97-816F-8A7DE0F5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2016-04-14T18:07:00Z</dcterms:created>
  <dcterms:modified xsi:type="dcterms:W3CDTF">2016-04-14T18:07:00Z</dcterms:modified>
</cp:coreProperties>
</file>